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i/>
          <w:iCs/>
          <w:color w:val="888888"/>
          <w:sz w:val="18"/>
          <w:szCs w:val="18"/>
        </w:rPr>
        <w:t xml:space="preserve">STUDENT FEEDBACK REPORT — FOR TRAINING PURPOSES ONLY</w:t>
      </w:r>
    </w:p>
    <w:p>
      <w:pPr>
        <w:pStyle w:val="Heading1"/>
        <w:spacing w:after="160" w:before="320"/>
      </w:pPr>
      <w:r>
        <w:rPr>
          <w:rFonts w:ascii="Arial" w:cs="Arial" w:eastAsia="Arial" w:hAnsi="Arial"/>
          <w:b/>
          <w:bCs/>
          <w:color w:val="003366"/>
          <w:sz w:val="28"/>
          <w:szCs w:val="28"/>
        </w:rPr>
        <w:t xml:space="preserve">SOC2310: Module Evaluation Summary 2022–23</w:t>
      </w:r>
    </w:p>
    <w:p>
      <w:pPr>
        <w:spacing w:after="160"/>
      </w:pPr>
      <w:r>
        <w:rPr>
          <w:rFonts w:ascii="Arial" w:cs="Arial" w:eastAsia="Arial" w:hAnsi="Arial"/>
          <w:sz w:val="22"/>
          <w:szCs w:val="22"/>
        </w:rPr>
        <w:t xml:space="preserve">Compiled by: Cardiff University Education and Student Experience Team   |   Date: September 2023</w:t>
      </w:r>
    </w:p>
    <w:p>
      <w:pPr>
        <w:spacing w:after="160"/>
      </w:pPr>
      <w:r>
        <w:rPr>
          <w:rFonts w:ascii="Arial" w:cs="Arial" w:eastAsia="Arial" w:hAnsi="Arial"/>
          <w:sz w:val="22"/>
          <w:szCs w:val="22"/>
        </w:rPr>
        <w:t xml:space="preserve">Response rate: 74 of 118 enrolled students (63%). Data collected via Cardiff module evaluation survey in week 22.</w:t>
      </w:r>
    </w:p>
    <w:p>
      <w:pPr>
        <w:pBdr>
          <w:bottom w:val="single" w:color="003366" w:sz="6" w:space="1"/>
        </w:pBdr>
        <w:spacing w:after="160"/>
      </w:pPr>
    </w:p>
    <w:p>
      <w:pPr>
        <w:pStyle w:val="Heading2"/>
        <w:spacing w:after="120" w:before="240"/>
      </w:pPr>
      <w:r>
        <w:rPr>
          <w:rFonts w:ascii="Arial" w:cs="Arial" w:eastAsia="Arial" w:hAnsi="Arial"/>
          <w:b/>
          <w:bCs/>
          <w:color w:val="003366"/>
          <w:sz w:val="24"/>
          <w:szCs w:val="24"/>
        </w:rPr>
        <w:t xml:space="preserve">1. Overall Satisfaction</w:t>
      </w:r>
    </w:p>
    <w:p>
      <w:pPr>
        <w:spacing w:after="160"/>
      </w:pPr>
      <w:r>
        <w:rPr>
          <w:rFonts w:ascii="Arial" w:cs="Arial" w:eastAsia="Arial" w:hAnsi="Arial"/>
          <w:sz w:val="22"/>
          <w:szCs w:val="22"/>
        </w:rPr>
        <w:t xml:space="preserve">Overall module satisfaction: 3.3 / 5.0 (Cardiff School of Social Sciences average for Level 5 methods modules: 3.7)</w:t>
      </w:r>
    </w:p>
    <w:p>
      <w:pPr>
        <w:spacing w:after="160"/>
      </w:pPr>
      <w:r>
        <w:rPr>
          <w:rFonts w:ascii="Arial" w:cs="Arial" w:eastAsia="Arial" w:hAnsi="Arial"/>
          <w:sz w:val="22"/>
          <w:szCs w:val="22"/>
        </w:rPr>
        <w:t xml:space="preserve">Would recommend this module to others: 51% yes, 29% unsure, 20% no</w:t>
      </w:r>
    </w:p>
    <w:p>
      <w:pPr>
        <w:spacing w:after="160"/>
      </w:pPr>
      <w:r>
        <w:rPr>
          <w:rFonts w:ascii="Arial" w:cs="Arial" w:eastAsia="Arial" w:hAnsi="Arial"/>
          <w:sz w:val="22"/>
          <w:szCs w:val="22"/>
        </w:rPr>
        <w:t xml:space="preserve">Felt well-supported to succeed: 46% agree or strongly agree, 33% neutral, 21% disagree or strongly disagree</w:t>
      </w:r>
    </w:p>
    <w:p>
      <w:pPr>
        <w:pStyle w:val="Heading2"/>
        <w:spacing w:after="120" w:before="240"/>
      </w:pPr>
      <w:r>
        <w:rPr>
          <w:rFonts w:ascii="Arial" w:cs="Arial" w:eastAsia="Arial" w:hAnsi="Arial"/>
          <w:b/>
          <w:bCs/>
          <w:color w:val="003366"/>
          <w:sz w:val="24"/>
          <w:szCs w:val="24"/>
        </w:rPr>
        <w:t xml:space="preserve">2. Quantitative Survey Results</w:t>
      </w:r>
    </w:p>
    <w:p>
      <w:pPr>
        <w:pStyle w:val="Heading3"/>
        <w:spacing w:after="100" w:before="200"/>
      </w:pPr>
      <w:r>
        <w:rPr>
          <w:rFonts w:ascii="Arial" w:cs="Arial" w:eastAsia="Arial" w:hAnsi="Arial"/>
          <w:b/>
          <w:bCs/>
          <w:color w:val="007B5E"/>
          <w:sz w:val="22"/>
          <w:szCs w:val="22"/>
        </w:rPr>
        <w:t xml:space="preserve">Teaching and Learning</w:t>
      </w:r>
    </w:p>
    <w:p>
      <w:pPr>
        <w:spacing w:after="160"/>
      </w:pPr>
      <w:r>
        <w:rPr>
          <w:rFonts w:ascii="Arial" w:cs="Arial" w:eastAsia="Arial" w:hAnsi="Arial"/>
          <w:sz w:val="22"/>
          <w:szCs w:val="22"/>
        </w:rPr>
        <w:t xml:space="preserve">"The teaching was clear and easy to follow": 3.5 / 5.0</w:t>
      </w:r>
    </w:p>
    <w:p>
      <w:pPr>
        <w:spacing w:after="160"/>
      </w:pPr>
      <w:r>
        <w:rPr>
          <w:rFonts w:ascii="Arial" w:cs="Arial" w:eastAsia="Arial" w:hAnsi="Arial"/>
          <w:sz w:val="22"/>
          <w:szCs w:val="22"/>
        </w:rPr>
        <w:t xml:space="preserve">"The pace of the module was appropriate": 2.8 / 5.0</w:t>
      </w:r>
    </w:p>
    <w:p>
      <w:pPr>
        <w:spacing w:after="160"/>
      </w:pPr>
      <w:r>
        <w:rPr>
          <w:rFonts w:ascii="Arial" w:cs="Arial" w:eastAsia="Arial" w:hAnsi="Arial"/>
          <w:sz w:val="22"/>
          <w:szCs w:val="22"/>
        </w:rPr>
        <w:t xml:space="preserve">"I understood what was expected of me in assessments": 3.0 / 5.0</w:t>
      </w:r>
    </w:p>
    <w:p>
      <w:pPr>
        <w:spacing w:after="160"/>
      </w:pPr>
      <w:r>
        <w:rPr>
          <w:rFonts w:ascii="Arial" w:cs="Arial" w:eastAsia="Arial" w:hAnsi="Arial"/>
          <w:sz w:val="22"/>
          <w:szCs w:val="22"/>
        </w:rPr>
        <w:t xml:space="preserve">"The feedback I received helped me improve": 2.9 / 5.0</w:t>
      </w:r>
    </w:p>
    <w:p>
      <w:pPr>
        <w:spacing w:after="160"/>
      </w:pPr>
      <w:r>
        <w:rPr>
          <w:rFonts w:ascii="Arial" w:cs="Arial" w:eastAsia="Arial" w:hAnsi="Arial"/>
          <w:sz w:val="22"/>
          <w:szCs w:val="22"/>
        </w:rPr>
        <w:t xml:space="preserve">"I felt confident using SPSS by the end of Semester A": 2.6 / 5.0</w:t>
      </w:r>
    </w:p>
    <w:p>
      <w:pPr>
        <w:spacing w:after="160"/>
      </w:pPr>
      <w:r>
        <w:rPr>
          <w:rFonts w:ascii="Arial" w:cs="Arial" w:eastAsia="Arial" w:hAnsi="Arial"/>
          <w:sz w:val="22"/>
          <w:szCs w:val="22"/>
        </w:rPr>
        <w:t xml:space="preserve">"I understood the difference between quantitative and qualitative approaches": 3.9 / 5.0</w:t>
      </w:r>
    </w:p>
    <w:p>
      <w:pPr>
        <w:spacing w:after="160"/>
      </w:pPr>
      <w:r>
        <w:rPr>
          <w:rFonts w:ascii="Arial" w:cs="Arial" w:eastAsia="Arial" w:hAnsi="Arial"/>
          <w:sz w:val="22"/>
          <w:szCs w:val="22"/>
        </w:rPr>
        <w:t xml:space="preserve">"Welsh-language resources were accessible and useful (Welsh-speaking students only, n=19)": 4.1 / 5.0</w:t>
      </w:r>
    </w:p>
    <w:p>
      <w:pPr>
        <w:pStyle w:val="Heading2"/>
        <w:spacing w:after="120" w:before="240"/>
      </w:pPr>
      <w:r>
        <w:rPr>
          <w:rFonts w:ascii="Arial" w:cs="Arial" w:eastAsia="Arial" w:hAnsi="Arial"/>
          <w:b/>
          <w:bCs/>
          <w:color w:val="003366"/>
          <w:sz w:val="24"/>
          <w:szCs w:val="24"/>
        </w:rPr>
        <w:t xml:space="preserve">3. Open-Text Feedback — Themes</w:t>
      </w:r>
    </w:p>
    <w:p>
      <w:pPr>
        <w:pStyle w:val="Heading3"/>
        <w:spacing w:after="100" w:before="200"/>
      </w:pPr>
      <w:r>
        <w:rPr>
          <w:rFonts w:ascii="Arial" w:cs="Arial" w:eastAsia="Arial" w:hAnsi="Arial"/>
          <w:b/>
          <w:bCs/>
          <w:color w:val="007B5E"/>
          <w:sz w:val="22"/>
          <w:szCs w:val="22"/>
        </w:rPr>
        <w:t xml:space="preserve">Theme 1: SPSS confidence gap (mentioned by 43 of 74 respondents)</w:t>
      </w:r>
    </w:p>
    <w:p>
      <w:pPr>
        <w:spacing w:after="160"/>
      </w:pPr>
      <w:r>
        <w:rPr>
          <w:rFonts w:ascii="Arial" w:cs="Arial" w:eastAsia="Arial" w:hAnsi="Arial"/>
          <w:sz w:val="22"/>
          <w:szCs w:val="22"/>
        </w:rPr>
        <w:t xml:space="preserve">The most prominent theme by far. Students reported being able to follow SPSS procedures in labs but feeling unable to transfer the skills to the assessment independently. Representative comments:</w:t>
      </w:r>
    </w:p>
    <w:p>
      <w:pPr>
        <w:pStyle w:val="ListParagraph"/>
        <w:numPr>
          <w:ilvl w:val="0"/>
          <w:numId w:val="2"/>
        </w:numPr>
        <w:spacing w:after="80"/>
      </w:pPr>
      <w:r>
        <w:rPr>
          <w:rFonts w:ascii="Arial" w:cs="Arial" w:eastAsia="Arial" w:hAnsi="Arial"/>
          <w:sz w:val="22"/>
          <w:szCs w:val="22"/>
        </w:rPr>
        <w:t xml:space="preserve">"I could copy the steps in the lab session but when it came to Assessment 1 I didn't know which test to choose or what my results actually meant."</w:t>
      </w:r>
    </w:p>
    <w:p>
      <w:pPr>
        <w:pStyle w:val="ListParagraph"/>
        <w:numPr>
          <w:ilvl w:val="0"/>
          <w:numId w:val="2"/>
        </w:numPr>
        <w:spacing w:after="80"/>
      </w:pPr>
      <w:r>
        <w:rPr>
          <w:rFonts w:ascii="Arial" w:cs="Arial" w:eastAsia="Arial" w:hAnsi="Arial"/>
          <w:sz w:val="22"/>
          <w:szCs w:val="22"/>
        </w:rPr>
        <w:t xml:space="preserve">"We were taught how to click buttons in SPSS but not why we were clicking them."</w:t>
      </w:r>
    </w:p>
    <w:p>
      <w:pPr>
        <w:pStyle w:val="ListParagraph"/>
        <w:numPr>
          <w:ilvl w:val="0"/>
          <w:numId w:val="2"/>
        </w:numPr>
        <w:spacing w:after="80"/>
      </w:pPr>
      <w:r>
        <w:rPr>
          <w:rFonts w:ascii="Arial" w:cs="Arial" w:eastAsia="Arial" w:hAnsi="Arial"/>
          <w:sz w:val="22"/>
          <w:szCs w:val="22"/>
        </w:rPr>
        <w:t xml:space="preserve">"I went to a drop-in in week 10 and it really helped but I wish I had gone in week 6. I didn't realise how far behind I was."</w:t>
      </w:r>
    </w:p>
    <w:p>
      <w:pPr>
        <w:pStyle w:val="ListParagraph"/>
        <w:numPr>
          <w:ilvl w:val="0"/>
          <w:numId w:val="2"/>
        </w:numPr>
        <w:spacing w:after="80"/>
      </w:pPr>
      <w:r>
        <w:rPr>
          <w:rFonts w:ascii="Arial" w:cs="Arial" w:eastAsia="Arial" w:hAnsi="Arial"/>
          <w:sz w:val="22"/>
          <w:szCs w:val="22"/>
        </w:rPr>
        <w:t xml:space="preserve">"The leap from descriptive statistics in week 6 to t-tests in week 7 felt too sudden. I needed more time to understand what I was doing before moving on."</w:t>
      </w:r>
    </w:p>
    <w:p>
      <w:pPr>
        <w:spacing w:after="160"/>
      </w:pPr>
      <w:r>
        <w:rPr>
          <w:rFonts w:ascii="Arial" w:cs="Arial" w:eastAsia="Arial" w:hAnsi="Arial"/>
          <w:sz w:val="22"/>
          <w:szCs w:val="22"/>
        </w:rPr>
        <w:t xml:space="preserve">Pattern: Procedural competence without conceptual understanding. Students can run SPSS but cannot interpret outputs or make independent methodological decisions. Assessment 1 performance confirms this — mean 54%, with weak results and discussion sections being the most common reason for marks below 60%.</w:t>
      </w:r>
    </w:p>
    <w:p>
      <w:pPr>
        <w:pStyle w:val="Heading3"/>
        <w:spacing w:after="100" w:before="200"/>
      </w:pPr>
      <w:r>
        <w:rPr>
          <w:rFonts w:ascii="Arial" w:cs="Arial" w:eastAsia="Arial" w:hAnsi="Arial"/>
          <w:b/>
          <w:bCs/>
          <w:color w:val="007B5E"/>
          <w:sz w:val="22"/>
          <w:szCs w:val="22"/>
        </w:rPr>
        <w:t xml:space="preserve">Theme 2: Assessment clarity (mentioned by 31 of 74 respondents)</w:t>
      </w:r>
    </w:p>
    <w:p>
      <w:pPr>
        <w:spacing w:after="160"/>
      </w:pPr>
      <w:r>
        <w:rPr>
          <w:rFonts w:ascii="Arial" w:cs="Arial" w:eastAsia="Arial" w:hAnsi="Arial"/>
          <w:sz w:val="22"/>
          <w:szCs w:val="22"/>
        </w:rPr>
        <w:t xml:space="preserve">Students reported confusion about assessment requirements, particularly for Assessments 2 and 3.</w:t>
      </w:r>
    </w:p>
    <w:p>
      <w:pPr>
        <w:pStyle w:val="ListParagraph"/>
        <w:numPr>
          <w:ilvl w:val="0"/>
          <w:numId w:val="2"/>
        </w:numPr>
        <w:spacing w:after="80"/>
      </w:pPr>
      <w:r>
        <w:rPr>
          <w:rFonts w:ascii="Arial" w:cs="Arial" w:eastAsia="Arial" w:hAnsi="Arial"/>
          <w:sz w:val="22"/>
          <w:szCs w:val="22"/>
        </w:rPr>
        <w:t xml:space="preserve">"I didn't realise a critical appraisal was different from a summary. I wrote a description of the article and got marked down."</w:t>
      </w:r>
    </w:p>
    <w:p>
      <w:pPr>
        <w:pStyle w:val="ListParagraph"/>
        <w:numPr>
          <w:ilvl w:val="0"/>
          <w:numId w:val="2"/>
        </w:numPr>
        <w:spacing w:after="80"/>
      </w:pPr>
      <w:r>
        <w:rPr>
          <w:rFonts w:ascii="Arial" w:cs="Arial" w:eastAsia="Arial" w:hAnsi="Arial"/>
          <w:sz w:val="22"/>
          <w:szCs w:val="22"/>
        </w:rPr>
        <w:t xml:space="preserve">"The approved article list for Assessment 2 had articles I didn't understand — I needed more guidance on how to choose one I could actually appraise."</w:t>
      </w:r>
    </w:p>
    <w:p>
      <w:pPr>
        <w:pStyle w:val="ListParagraph"/>
        <w:numPr>
          <w:ilvl w:val="0"/>
          <w:numId w:val="2"/>
        </w:numPr>
        <w:spacing w:after="80"/>
      </w:pPr>
      <w:r>
        <w:rPr>
          <w:rFonts w:ascii="Arial" w:cs="Arial" w:eastAsia="Arial" w:hAnsi="Arial"/>
          <w:sz w:val="22"/>
          <w:szCs w:val="22"/>
        </w:rPr>
        <w:t xml:space="preserve">"For the group presentation I wasn't sure how much to focus on method versus findings."</w:t>
      </w:r>
    </w:p>
    <w:p>
      <w:pPr>
        <w:pStyle w:val="ListParagraph"/>
        <w:numPr>
          <w:ilvl w:val="0"/>
          <w:numId w:val="2"/>
        </w:numPr>
        <w:spacing w:after="80"/>
      </w:pPr>
      <w:r>
        <w:rPr>
          <w:rFonts w:ascii="Arial" w:cs="Arial" w:eastAsia="Arial" w:hAnsi="Arial"/>
          <w:sz w:val="22"/>
          <w:szCs w:val="22"/>
        </w:rPr>
        <w:t xml:space="preserve">"The individual contribution element of Assessment 3 — the Q&amp;A — wasn't explained until the week before. I didn't prepare for it."</w:t>
      </w:r>
    </w:p>
    <w:p>
      <w:pPr>
        <w:spacing w:after="160"/>
      </w:pPr>
      <w:r>
        <w:rPr>
          <w:rFonts w:ascii="Arial" w:cs="Arial" w:eastAsia="Arial" w:hAnsi="Arial"/>
          <w:sz w:val="22"/>
          <w:szCs w:val="22"/>
        </w:rPr>
        <w:t xml:space="preserve">Pattern: Assessment briefs are received before students have the knowledge to interpret them. The critical appraisal criteria in particular use methodological terminology (internal validity, construct validity, transferability) that students have not yet encountered when the brief is distributed in week 1.</w:t>
      </w:r>
    </w:p>
    <w:p>
      <w:pPr>
        <w:pStyle w:val="Heading3"/>
        <w:spacing w:after="100" w:before="200"/>
      </w:pPr>
      <w:r>
        <w:rPr>
          <w:rFonts w:ascii="Arial" w:cs="Arial" w:eastAsia="Arial" w:hAnsi="Arial"/>
          <w:b/>
          <w:bCs/>
          <w:color w:val="007B5E"/>
          <w:sz w:val="22"/>
          <w:szCs w:val="22"/>
        </w:rPr>
        <w:t xml:space="preserve">Theme 3: Pacing — quantitative content too compressed (mentioned by 27 of 74 respondents)</w:t>
      </w:r>
    </w:p>
    <w:p>
      <w:pPr>
        <w:pStyle w:val="ListParagraph"/>
        <w:numPr>
          <w:ilvl w:val="0"/>
          <w:numId w:val="2"/>
        </w:numPr>
        <w:spacing w:after="80"/>
      </w:pPr>
      <w:r>
        <w:rPr>
          <w:rFonts w:ascii="Arial" w:cs="Arial" w:eastAsia="Arial" w:hAnsi="Arial"/>
          <w:sz w:val="22"/>
          <w:szCs w:val="22"/>
        </w:rPr>
        <w:t xml:space="preserve">"We covered t-tests, chi-square, and regression in three weeks. I lost the thread after chi-square and never caught up."</w:t>
      </w:r>
    </w:p>
    <w:p>
      <w:pPr>
        <w:pStyle w:val="ListParagraph"/>
        <w:numPr>
          <w:ilvl w:val="0"/>
          <w:numId w:val="2"/>
        </w:numPr>
        <w:spacing w:after="80"/>
      </w:pPr>
      <w:r>
        <w:rPr>
          <w:rFonts w:ascii="Arial" w:cs="Arial" w:eastAsia="Arial" w:hAnsi="Arial"/>
          <w:sz w:val="22"/>
          <w:szCs w:val="22"/>
        </w:rPr>
        <w:t xml:space="preserve">"Qualitative felt so much more manageable. I wished we had started there."</w:t>
      </w:r>
    </w:p>
    <w:p>
      <w:pPr>
        <w:pStyle w:val="ListParagraph"/>
        <w:numPr>
          <w:ilvl w:val="0"/>
          <w:numId w:val="2"/>
        </w:numPr>
        <w:spacing w:after="80"/>
      </w:pPr>
      <w:r>
        <w:rPr>
          <w:rFonts w:ascii="Arial" w:cs="Arial" w:eastAsia="Arial" w:hAnsi="Arial"/>
          <w:sz w:val="22"/>
          <w:szCs w:val="22"/>
        </w:rPr>
        <w:t xml:space="preserve">"The National Survey for Wales dataset was a great idea but I didn't understand the sampling documentation and I think it affected my results."</w:t>
      </w:r>
    </w:p>
    <w:p>
      <w:pPr>
        <w:spacing w:after="160"/>
      </w:pPr>
      <w:r>
        <w:rPr>
          <w:rFonts w:ascii="Arial" w:cs="Arial" w:eastAsia="Arial" w:hAnsi="Arial"/>
          <w:sz w:val="22"/>
          <w:szCs w:val="22"/>
        </w:rPr>
        <w:t xml:space="preserve">Pattern: Consistent with SPSS confidence data. Cumulative nature of statistical knowledge means early difficulties compound. No consolidation time is built into the Semester A schedule.</w:t>
      </w:r>
    </w:p>
    <w:p>
      <w:pPr>
        <w:pStyle w:val="Heading3"/>
        <w:spacing w:after="100" w:before="200"/>
      </w:pPr>
      <w:r>
        <w:rPr>
          <w:rFonts w:ascii="Arial" w:cs="Arial" w:eastAsia="Arial" w:hAnsi="Arial"/>
          <w:b/>
          <w:bCs/>
          <w:color w:val="007B5E"/>
          <w:sz w:val="22"/>
          <w:szCs w:val="22"/>
        </w:rPr>
        <w:t xml:space="preserve">Theme 4: Positive feedback on qualitative teaching (mentioned by 24 of 74 respondents)</w:t>
      </w:r>
    </w:p>
    <w:p>
      <w:pPr>
        <w:pStyle w:val="ListParagraph"/>
        <w:numPr>
          <w:ilvl w:val="0"/>
          <w:numId w:val="2"/>
        </w:numPr>
        <w:spacing w:after="80"/>
      </w:pPr>
      <w:r>
        <w:rPr>
          <w:rFonts w:ascii="Arial" w:cs="Arial" w:eastAsia="Arial" w:hAnsi="Arial"/>
          <w:sz w:val="22"/>
          <w:szCs w:val="22"/>
        </w:rPr>
        <w:t xml:space="preserve">"The thematic analysis workshops were by far the best sessions. Actually working through real data with the group made it click."</w:t>
      </w:r>
    </w:p>
    <w:p>
      <w:pPr>
        <w:pStyle w:val="ListParagraph"/>
        <w:numPr>
          <w:ilvl w:val="0"/>
          <w:numId w:val="2"/>
        </w:numPr>
        <w:spacing w:after="80"/>
      </w:pPr>
      <w:r>
        <w:rPr>
          <w:rFonts w:ascii="Arial" w:cs="Arial" w:eastAsia="Arial" w:hAnsi="Arial"/>
          <w:sz w:val="22"/>
          <w:szCs w:val="22"/>
        </w:rPr>
        <w:t xml:space="preserve">"Semester B felt completely different — more space to think, more relevant to the kind of research I want to do."</w:t>
      </w:r>
    </w:p>
    <w:p>
      <w:pPr>
        <w:pStyle w:val="ListParagraph"/>
        <w:numPr>
          <w:ilvl w:val="0"/>
          <w:numId w:val="2"/>
        </w:numPr>
        <w:spacing w:after="80"/>
      </w:pPr>
      <w:r>
        <w:rPr>
          <w:rFonts w:ascii="Arial" w:cs="Arial" w:eastAsia="Arial" w:hAnsi="Arial"/>
          <w:sz w:val="22"/>
          <w:szCs w:val="22"/>
        </w:rPr>
        <w:t xml:space="preserve">"Dr Beynon's examples of Welsh social research made qualitative methods feel real and useful."</w:t>
      </w:r>
    </w:p>
    <w:p>
      <w:pPr>
        <w:spacing w:after="160"/>
      </w:pPr>
      <w:r>
        <w:rPr>
          <w:rFonts w:ascii="Arial" w:cs="Arial" w:eastAsia="Arial" w:hAnsi="Arial"/>
          <w:sz w:val="22"/>
          <w:szCs w:val="22"/>
        </w:rPr>
        <w:t xml:space="preserve">Note: Several students expressed surprise that qualitative research was considered valid in social science, suggesting prior assumptions about what research means. Worth addressing explicitly in week 12.</w:t>
      </w:r>
    </w:p>
    <w:p>
      <w:pPr>
        <w:pStyle w:val="Heading3"/>
        <w:spacing w:after="100" w:before="200"/>
      </w:pPr>
      <w:r>
        <w:rPr>
          <w:rFonts w:ascii="Arial" w:cs="Arial" w:eastAsia="Arial" w:hAnsi="Arial"/>
          <w:b/>
          <w:bCs/>
          <w:color w:val="007B5E"/>
          <w:sz w:val="22"/>
          <w:szCs w:val="22"/>
        </w:rPr>
        <w:t xml:space="preserve">Theme 5: Feedback timing (mentioned by 19 of 74 respondents)</w:t>
      </w:r>
    </w:p>
    <w:p>
      <w:pPr>
        <w:pStyle w:val="ListParagraph"/>
        <w:numPr>
          <w:ilvl w:val="0"/>
          <w:numId w:val="2"/>
        </w:numPr>
        <w:spacing w:after="80"/>
      </w:pPr>
      <w:r>
        <w:rPr>
          <w:rFonts w:ascii="Arial" w:cs="Arial" w:eastAsia="Arial" w:hAnsi="Arial"/>
          <w:sz w:val="22"/>
          <w:szCs w:val="22"/>
        </w:rPr>
        <w:t xml:space="preserve">"I got my Assessment 1 feedback in week 16. Assessment 2 was due week 17. There was literally no time to use it."</w:t>
      </w:r>
    </w:p>
    <w:p>
      <w:pPr>
        <w:pStyle w:val="ListParagraph"/>
        <w:numPr>
          <w:ilvl w:val="0"/>
          <w:numId w:val="2"/>
        </w:numPr>
        <w:spacing w:after="80"/>
      </w:pPr>
      <w:r>
        <w:rPr>
          <w:rFonts w:ascii="Arial" w:cs="Arial" w:eastAsia="Arial" w:hAnsi="Arial"/>
          <w:sz w:val="22"/>
          <w:szCs w:val="22"/>
        </w:rPr>
        <w:t xml:space="preserve">"The feedback was helpful and detailed but it came too late to change anything."</w:t>
      </w:r>
    </w:p>
    <w:p>
      <w:pPr>
        <w:spacing w:after="160"/>
      </w:pPr>
      <w:r>
        <w:rPr>
          <w:rFonts w:ascii="Arial" w:cs="Arial" w:eastAsia="Arial" w:hAnsi="Arial"/>
          <w:sz w:val="22"/>
          <w:szCs w:val="22"/>
        </w:rPr>
        <w:t xml:space="preserve">Pattern: Structural timing problem. Assessment 1 deadline (week 12) and Assessment 2 deadline (week 17) are too close together given current marking turnaround. Students cannot use formative feedback if it arrives after the next submission.</w:t>
      </w:r>
    </w:p>
    <w:p>
      <w:pPr>
        <w:pStyle w:val="Heading2"/>
        <w:spacing w:after="120" w:before="240"/>
      </w:pPr>
      <w:r>
        <w:rPr>
          <w:rFonts w:ascii="Arial" w:cs="Arial" w:eastAsia="Arial" w:hAnsi="Arial"/>
          <w:b/>
          <w:bCs/>
          <w:color w:val="003366"/>
          <w:sz w:val="24"/>
          <w:szCs w:val="24"/>
        </w:rPr>
        <w:t xml:space="preserve">4. Assessment Performance Data</w:t>
      </w:r>
    </w:p>
    <w:p>
      <w:pPr>
        <w:spacing w:after="160"/>
      </w:pPr>
      <w:r>
        <w:rPr>
          <w:rFonts w:ascii="Arial" w:cs="Arial" w:eastAsia="Arial" w:hAnsi="Arial"/>
          <w:sz w:val="22"/>
          <w:szCs w:val="22"/>
        </w:rPr>
        <w:t xml:space="preserve">Assessment 1 — Quantitative Research Report: Mean 54%, SD 15%, Range 24–80%, Pass rate 81%</w:t>
      </w:r>
    </w:p>
    <w:p>
      <w:pPr>
        <w:spacing w:after="160"/>
      </w:pPr>
      <w:r>
        <w:rPr>
          <w:rFonts w:ascii="Arial" w:cs="Arial" w:eastAsia="Arial" w:hAnsi="Arial"/>
          <w:sz w:val="22"/>
          <w:szCs w:val="22"/>
        </w:rPr>
        <w:t xml:space="preserve">Assessment 2 — Critical Appraisal: Mean 59%, SD 12%, Range 32–78%, Pass rate 89%</w:t>
      </w:r>
    </w:p>
    <w:p>
      <w:pPr>
        <w:spacing w:after="160"/>
      </w:pPr>
      <w:r>
        <w:rPr>
          <w:rFonts w:ascii="Arial" w:cs="Arial" w:eastAsia="Arial" w:hAnsi="Arial"/>
          <w:sz w:val="22"/>
          <w:szCs w:val="22"/>
        </w:rPr>
        <w:t xml:space="preserve">Assessment 3 — Group Presentation: Mean 63%, SD 10%, Range 41–79%, Pass rate 94%</w:t>
      </w:r>
    </w:p>
    <w:p>
      <w:pPr>
        <w:spacing w:after="160"/>
      </w:pPr>
      <w:r>
        <w:rPr>
          <w:rFonts w:ascii="Arial" w:cs="Arial" w:eastAsia="Arial" w:hAnsi="Arial"/>
          <w:sz w:val="22"/>
          <w:szCs w:val="22"/>
        </w:rPr>
        <w:t xml:space="preserve">Module overall: Mean 58%, SD 11%. 17 students (14.4%) failed one or more assessments. 8 students (6.8%) failed the module overall.</w:t>
      </w:r>
    </w:p>
    <w:p>
      <w:pPr>
        <w:spacing w:after="160"/>
      </w:pPr>
      <w:r>
        <w:rPr>
          <w:rFonts w:ascii="Arial" w:cs="Arial" w:eastAsia="Arial" w:hAnsi="Arial"/>
          <w:sz w:val="22"/>
          <w:szCs w:val="22"/>
        </w:rPr>
        <w:t xml:space="preserve">Notable pattern: Students scoring below 50% on Assessment 1 scored on average 9 percentage points lower on Assessment 2 than the cohort mean, suggesting early difficulties compound. Students who attended SPSS drop-in sessions scored on average 7 points higher on Assessment 1 than non-attendees (58% vs 51%).</w:t>
      </w:r>
    </w:p>
    <w:p>
      <w:pPr>
        <w:pStyle w:val="Heading2"/>
        <w:spacing w:after="120" w:before="240"/>
      </w:pPr>
      <w:r>
        <w:rPr>
          <w:rFonts w:ascii="Arial" w:cs="Arial" w:eastAsia="Arial" w:hAnsi="Arial"/>
          <w:b/>
          <w:bCs/>
          <w:color w:val="003366"/>
          <w:sz w:val="24"/>
          <w:szCs w:val="24"/>
        </w:rPr>
        <w:t xml:space="preserve">5. External Examiner Comments (Summary)</w:t>
      </w:r>
    </w:p>
    <w:p>
      <w:pPr>
        <w:spacing w:after="160"/>
      </w:pPr>
      <w:r>
        <w:rPr>
          <w:rFonts w:ascii="Arial" w:cs="Arial" w:eastAsia="Arial" w:hAnsi="Arial"/>
          <w:sz w:val="22"/>
          <w:szCs w:val="22"/>
        </w:rPr>
        <w:t xml:space="preserve">External examiner for 2022–23: Professor Huw Griffiths, Aberystwyth University.</w:t>
      </w:r>
    </w:p>
    <w:p>
      <w:pPr>
        <w:pStyle w:val="ListParagraph"/>
        <w:numPr>
          <w:ilvl w:val="0"/>
          <w:numId w:val="2"/>
        </w:numPr>
        <w:spacing w:after="80"/>
      </w:pPr>
      <w:r>
        <w:rPr>
          <w:rFonts w:ascii="Arial" w:cs="Arial" w:eastAsia="Arial" w:hAnsi="Arial"/>
          <w:sz w:val="22"/>
          <w:szCs w:val="22"/>
        </w:rPr>
        <w:t xml:space="preserve">Standards are broadly appropriate for Level 5 and comparable with provision elsewhere in Wales and the UK.</w:t>
      </w:r>
    </w:p>
    <w:p>
      <w:pPr>
        <w:pStyle w:val="ListParagraph"/>
        <w:numPr>
          <w:ilvl w:val="0"/>
          <w:numId w:val="2"/>
        </w:numPr>
        <w:spacing w:after="80"/>
      </w:pPr>
      <w:r>
        <w:rPr>
          <w:rFonts w:ascii="Arial" w:cs="Arial" w:eastAsia="Arial" w:hAnsi="Arial"/>
          <w:sz w:val="22"/>
          <w:szCs w:val="22"/>
        </w:rPr>
        <w:t xml:space="preserve">The use of the National Survey for Wales dataset is genuinely distinctive and should be retained and developed. However, the sampling documentation task needs to be more explicitly taught.</w:t>
      </w:r>
    </w:p>
    <w:p>
      <w:pPr>
        <w:pStyle w:val="ListParagraph"/>
        <w:numPr>
          <w:ilvl w:val="0"/>
          <w:numId w:val="2"/>
        </w:numPr>
        <w:spacing w:after="80"/>
      </w:pPr>
      <w:r>
        <w:rPr>
          <w:rFonts w:ascii="Arial" w:cs="Arial" w:eastAsia="Arial" w:hAnsi="Arial"/>
          <w:sz w:val="22"/>
          <w:szCs w:val="22"/>
        </w:rPr>
        <w:t xml:space="preserve">A significant minority of Assessment 1 submissions show mechanical application of SPSS without conceptual understanding. The teaching approach in Semester A needs to give more attention to the logic of statistical inference, not just the procedural steps.</w:t>
      </w:r>
    </w:p>
    <w:p>
      <w:pPr>
        <w:pStyle w:val="ListParagraph"/>
        <w:numPr>
          <w:ilvl w:val="0"/>
          <w:numId w:val="2"/>
        </w:numPr>
        <w:spacing w:after="80"/>
      </w:pPr>
      <w:r>
        <w:rPr>
          <w:rFonts w:ascii="Arial" w:cs="Arial" w:eastAsia="Arial" w:hAnsi="Arial"/>
          <w:sz w:val="22"/>
          <w:szCs w:val="22"/>
        </w:rPr>
        <w:t xml:space="preserve">Assessment 2 instructions should more clearly define what a critical appraisal is, using examples of strong and weak appraisals as models. The current brief assumes too much prior knowledge.</w:t>
      </w:r>
    </w:p>
    <w:p>
      <w:pPr>
        <w:pStyle w:val="ListParagraph"/>
        <w:numPr>
          <w:ilvl w:val="0"/>
          <w:numId w:val="2"/>
        </w:numPr>
        <w:spacing w:after="80"/>
      </w:pPr>
      <w:r>
        <w:rPr>
          <w:rFonts w:ascii="Arial" w:cs="Arial" w:eastAsia="Arial" w:hAnsi="Arial"/>
          <w:sz w:val="22"/>
          <w:szCs w:val="22"/>
        </w:rPr>
        <w:t xml:space="preserve">The module would benefit from a low-stakes formative assessment opportunity in Semester A — a short SPSS quiz or practice task — to help students calibrate before Assessment 1 is due.</w:t>
      </w:r>
    </w:p>
    <w:p>
      <w:pPr>
        <w:pStyle w:val="ListParagraph"/>
        <w:numPr>
          <w:ilvl w:val="0"/>
          <w:numId w:val="2"/>
        </w:numPr>
        <w:spacing w:after="80"/>
      </w:pPr>
      <w:r>
        <w:rPr>
          <w:rFonts w:ascii="Arial" w:cs="Arial" w:eastAsia="Arial" w:hAnsi="Arial"/>
          <w:sz w:val="22"/>
          <w:szCs w:val="22"/>
        </w:rPr>
        <w:t xml:space="preserve">The Welsh-language provision is commendable and ahead of comparable provision elsewhere. The satisfaction score among Welsh-speaking students (4.1) significantly exceeds the module average and should be noted positively.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003366"/>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003366"/>
      <w:sz w:val="24"/>
      <w:szCs w:val="24"/>
    </w:rPr>
  </w:style>
  <w:style w:type="paragraph" w:styleId="Heading3">
    <w:name w:val="Heading 3"/>
    <w:basedOn w:val="Normal"/>
    <w:next w:val="Normal"/>
    <w:qFormat/>
    <w:pPr>
      <w:spacing w:after="100" w:before="200"/>
      <w:outlineLvl w:val="2"/>
    </w:pPr>
    <w:rPr>
      <w:rFonts w:ascii="Arial" w:cs="Arial" w:eastAsia="Arial" w:hAnsi="Arial"/>
      <w:b/>
      <w:bCs/>
      <w:color w:val="007B5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2026-07-16T11:49:00.848Z</dcterms:created>
  <dcterms:modified xsi:type="dcterms:W3CDTF">2026-07-16T11:49:00.848Z</dcterms:modified>
</cp:coreProperties>
</file>

<file path=docProps/custom.xml><?xml version="1.0" encoding="utf-8"?>
<Properties xmlns="http://schemas.openxmlformats.org/officeDocument/2006/custom-properties" xmlns:vt="http://schemas.openxmlformats.org/officeDocument/2006/docPropsVTypes"/>
</file>