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i/>
          <w:iCs/>
          <w:color w:val="888888"/>
          <w:sz w:val="18"/>
          <w:szCs w:val="18"/>
        </w:rPr>
        <w:t xml:space="preserve">LECTURER REFLECTION NOTES — FOR TRAINING PURPOSES ONLY</w:t>
      </w:r>
    </w:p>
    <w:p>
      <w:pPr>
        <w:pStyle w:val="Heading1"/>
        <w:spacing w:after="160" w:before="320"/>
      </w:pPr>
      <w:r>
        <w:rPr>
          <w:rFonts w:ascii="Arial" w:cs="Arial" w:eastAsia="Arial" w:hAnsi="Arial"/>
          <w:b/>
          <w:bCs/>
          <w:color w:val="003366"/>
          <w:sz w:val="28"/>
          <w:szCs w:val="28"/>
        </w:rPr>
        <w:t xml:space="preserve">SOC2310: My Notes for 2024–25 Redesign</w:t>
      </w:r>
    </w:p>
    <w:p>
      <w:pPr>
        <w:spacing w:after="160"/>
      </w:pPr>
      <w:r>
        <w:rPr>
          <w:rFonts w:ascii="Arial" w:cs="Arial" w:eastAsia="Arial" w:hAnsi="Arial"/>
          <w:sz w:val="22"/>
          <w:szCs w:val="22"/>
        </w:rPr>
        <w:t xml:space="preserve">Dr Lowri Beynon — written October 2023 after reviewing module evaluation data and external examiner report</w:t>
      </w:r>
    </w:p>
    <w:p>
      <w:pPr>
        <w:spacing w:after="160"/>
      </w:pPr>
      <w:r>
        <w:rPr>
          <w:rFonts w:ascii="Arial" w:cs="Arial" w:eastAsia="Arial" w:hAnsi="Arial"/>
          <w:sz w:val="22"/>
          <w:szCs w:val="22"/>
        </w:rPr>
        <w:t xml:space="preserve">These are personal planning notes, not an official document.</w:t>
      </w:r>
    </w:p>
    <w:p>
      <w:pPr>
        <w:pBdr>
          <w:bottom w:val="single" w:color="003366" w:sz="6" w:space="1"/>
        </w:pBdr>
        <w:spacing w:after="160"/>
      </w:pPr>
    </w:p>
    <w:p>
      <w:pPr>
        <w:pStyle w:val="Heading2"/>
        <w:spacing w:after="120" w:before="240"/>
      </w:pPr>
      <w:r>
        <w:rPr>
          <w:rFonts w:ascii="Arial" w:cs="Arial" w:eastAsia="Arial" w:hAnsi="Arial"/>
          <w:b/>
          <w:bCs/>
          <w:color w:val="003366"/>
          <w:sz w:val="24"/>
          <w:szCs w:val="24"/>
        </w:rPr>
        <w:t xml:space="preserve">What Went Wrong This Year</w:t>
      </w:r>
    </w:p>
    <w:p>
      <w:pPr>
        <w:pStyle w:val="Heading3"/>
        <w:spacing w:after="100" w:before="200"/>
      </w:pPr>
      <w:r>
        <w:rPr>
          <w:rFonts w:ascii="Arial" w:cs="Arial" w:eastAsia="Arial" w:hAnsi="Arial"/>
          <w:b/>
          <w:bCs/>
          <w:color w:val="007B5E"/>
          <w:sz w:val="22"/>
          <w:szCs w:val="22"/>
        </w:rPr>
        <w:t xml:space="preserve">The SPSS problem is structural, not individual</w:t>
      </w:r>
    </w:p>
    <w:p>
      <w:pPr>
        <w:spacing w:after="160"/>
      </w:pPr>
      <w:r>
        <w:rPr>
          <w:rFonts w:ascii="Arial" w:cs="Arial" w:eastAsia="Arial" w:hAnsi="Arial"/>
          <w:sz w:val="22"/>
          <w:szCs w:val="22"/>
        </w:rPr>
        <w:t xml:space="preserve">I keep telling myself that students who struggle with SPSS just need to engage more with the materials. The feedback this year — 43 out of 74 students raising this as a concern, and a module mean of 54% on Assessment 1 — tells me this is not an engagement problem. It is a teaching design problem.</w:t>
      </w:r>
    </w:p>
    <w:p>
      <w:pPr>
        <w:spacing w:after="160"/>
      </w:pPr>
      <w:r>
        <w:rPr>
          <w:rFonts w:ascii="Arial" w:cs="Arial" w:eastAsia="Arial" w:hAnsi="Arial"/>
          <w:sz w:val="22"/>
          <w:szCs w:val="22"/>
        </w:rPr>
        <w:t xml:space="preserve">The issue is that I teach SPSS as a series of procedures. Students follow along in the lab, they reproduce the steps when I am showing them, and then they cannot transfer to a new dataset independently because they do not understand what the procedures are doing or why you would choose one over another. A student who runs a t-test without knowing what a null hypothesis is or what a p-value means has learned a click sequence, not a method.</w:t>
      </w:r>
    </w:p>
    <w:p>
      <w:pPr>
        <w:spacing w:after="160"/>
      </w:pPr>
      <w:r>
        <w:rPr>
          <w:rFonts w:ascii="Arial" w:cs="Arial" w:eastAsia="Arial" w:hAnsi="Arial"/>
          <w:sz w:val="22"/>
          <w:szCs w:val="22"/>
        </w:rPr>
        <w:t xml:space="preserve">I think the fix is to teach the conceptual logic before the software. Before we open SPSS, students should understand what comparing group means means, what it would look like if groups were different, and what level of difference we would need to see before we concluded it was not just chance. Then SPSS becomes the tool that calculates the answer to a question they already understand.</w:t>
      </w:r>
    </w:p>
    <w:p>
      <w:pPr>
        <w:spacing w:after="160"/>
      </w:pPr>
      <w:r>
        <w:rPr>
          <w:rFonts w:ascii="Arial" w:cs="Arial" w:eastAsia="Arial" w:hAnsi="Arial"/>
          <w:sz w:val="22"/>
          <w:szCs w:val="22"/>
        </w:rPr>
        <w:t xml:space="preserve">This means restructuring weeks 6–8 significantly. I might need to cut something — possibly the secondary data week, or compress non-parametric tests which I currently cover briefly in week 10.</w:t>
      </w:r>
    </w:p>
    <w:p>
      <w:pPr>
        <w:pStyle w:val="Heading3"/>
        <w:spacing w:after="100" w:before="200"/>
      </w:pPr>
      <w:r>
        <w:rPr>
          <w:rFonts w:ascii="Arial" w:cs="Arial" w:eastAsia="Arial" w:hAnsi="Arial"/>
          <w:b/>
          <w:bCs/>
          <w:color w:val="007B5E"/>
          <w:sz w:val="22"/>
          <w:szCs w:val="22"/>
        </w:rPr>
        <w:t xml:space="preserve">The National Survey for Wales dataset is a strength but needs better scaffolding</w:t>
      </w:r>
    </w:p>
    <w:p>
      <w:pPr>
        <w:spacing w:after="160"/>
      </w:pPr>
      <w:r>
        <w:rPr>
          <w:rFonts w:ascii="Arial" w:cs="Arial" w:eastAsia="Arial" w:hAnsi="Arial"/>
          <w:sz w:val="22"/>
          <w:szCs w:val="22"/>
        </w:rPr>
        <w:t xml:space="preserve">This is one of the things I am proudest of in this module — using real Welsh data makes the research feel relevant and the students who engage with it well produce genuinely interesting work. But 30% of Assessment 1 submissions this year showed misunderstanding of sampling weights and survey design, which directly affected the validity of their analysis.</w:t>
      </w:r>
    </w:p>
    <w:p>
      <w:pPr>
        <w:spacing w:after="160"/>
      </w:pPr>
      <w:r>
        <w:rPr>
          <w:rFonts w:ascii="Arial" w:cs="Arial" w:eastAsia="Arial" w:hAnsi="Arial"/>
          <w:sz w:val="22"/>
          <w:szCs w:val="22"/>
        </w:rPr>
        <w:t xml:space="preserve">The technical documentation is there. Students are not reading it. I need to make reading it compulsory and assessable before they begin their own analysis — a short structured task in week 9 that requires them to answer specific questions about the survey design. This should not be graded but it should be a prerequisite for Assessment 1 submission.</w:t>
      </w:r>
    </w:p>
    <w:p>
      <w:pPr>
        <w:pStyle w:val="Heading3"/>
        <w:spacing w:after="100" w:before="200"/>
      </w:pPr>
      <w:r>
        <w:rPr>
          <w:rFonts w:ascii="Arial" w:cs="Arial" w:eastAsia="Arial" w:hAnsi="Arial"/>
          <w:b/>
          <w:bCs/>
          <w:color w:val="007B5E"/>
          <w:sz w:val="22"/>
          <w:szCs w:val="22"/>
        </w:rPr>
        <w:t xml:space="preserve">Assessment 2 brief is not clear enough about what critical appraisal means</w:t>
      </w:r>
    </w:p>
    <w:p>
      <w:pPr>
        <w:spacing w:after="160"/>
      </w:pPr>
      <w:r>
        <w:rPr>
          <w:rFonts w:ascii="Arial" w:cs="Arial" w:eastAsia="Arial" w:hAnsi="Arial"/>
          <w:sz w:val="22"/>
          <w:szCs w:val="22"/>
        </w:rPr>
        <w:t xml:space="preserve">Four students submitted what were essentially article summaries and were surprised when they received low marks. Looking at the brief again, I can see why. I use the phrase "critical appraisal" assuming students know what it means. They do not, and the brief does not tell them. The list of evaluation criteria is there but without a worked example, students interpret "evaluate the research question" as "describe the research question."</w:t>
      </w:r>
    </w:p>
    <w:p>
      <w:pPr>
        <w:spacing w:after="160"/>
      </w:pPr>
      <w:r>
        <w:rPr>
          <w:rFonts w:ascii="Arial" w:cs="Arial" w:eastAsia="Arial" w:hAnsi="Arial"/>
          <w:sz w:val="22"/>
          <w:szCs w:val="22"/>
        </w:rPr>
        <w:t xml:space="preserve">I need to add one example of a strong critical appraisal and one example of a weak one — both of fictional studies to avoid copyright issues — and walk through the difference in the week 12 session. This should substantially reduce the number of students who misunderstand the task.</w:t>
      </w:r>
    </w:p>
    <w:p>
      <w:pPr>
        <w:pStyle w:val="Heading3"/>
        <w:spacing w:after="100" w:before="200"/>
      </w:pPr>
      <w:r>
        <w:rPr>
          <w:rFonts w:ascii="Arial" w:cs="Arial" w:eastAsia="Arial" w:hAnsi="Arial"/>
          <w:b/>
          <w:bCs/>
          <w:color w:val="007B5E"/>
          <w:sz w:val="22"/>
          <w:szCs w:val="22"/>
        </w:rPr>
        <w:t xml:space="preserve">Feedback timing is unfair</w:t>
      </w:r>
    </w:p>
    <w:p>
      <w:pPr>
        <w:spacing w:after="160"/>
      </w:pPr>
      <w:r>
        <w:rPr>
          <w:rFonts w:ascii="Arial" w:cs="Arial" w:eastAsia="Arial" w:hAnsi="Arial"/>
          <w:sz w:val="22"/>
          <w:szCs w:val="22"/>
        </w:rPr>
        <w:t xml:space="preserve">Assessment 1 due week 12. Assessment 2 due week 17. I return Assessment 1 marks in week 16. Students have one week to act on feedback before Assessment 2 is due, and most students do not read feedback immediately after receiving a mark.</w:t>
      </w:r>
    </w:p>
    <w:p>
      <w:pPr>
        <w:spacing w:after="160"/>
      </w:pPr>
      <w:r>
        <w:rPr>
          <w:rFonts w:ascii="Arial" w:cs="Arial" w:eastAsia="Arial" w:hAnsi="Arial"/>
          <w:sz w:val="22"/>
          <w:szCs w:val="22"/>
        </w:rPr>
        <w:t xml:space="preserve">This is not fair and I need to fix it. Options: (1) move Assessment 2 deadline to week 19, which gives students two weeks with Assessment 1 feedback and also gives me two extra weeks for marking — this is probably the right answer even though it compresses Assessment 3 marking; or (2) commit to returning Assessment 1 feedback in week 14, which requires me to set a personal marking deadline of week 13. Option 1 is more achievable.</w:t>
      </w:r>
    </w:p>
    <w:p>
      <w:pPr>
        <w:pStyle w:val="Heading3"/>
        <w:spacing w:after="100" w:before="200"/>
      </w:pPr>
      <w:r>
        <w:rPr>
          <w:rFonts w:ascii="Arial" w:cs="Arial" w:eastAsia="Arial" w:hAnsi="Arial"/>
          <w:b/>
          <w:bCs/>
          <w:color w:val="007B5E"/>
          <w:sz w:val="22"/>
          <w:szCs w:val="22"/>
        </w:rPr>
        <w:t xml:space="preserve">The Q&amp;A component of Assessment 3 is a surprise to students</w:t>
      </w:r>
    </w:p>
    <w:p>
      <w:pPr>
        <w:spacing w:after="160"/>
      </w:pPr>
      <w:r>
        <w:rPr>
          <w:rFonts w:ascii="Arial" w:cs="Arial" w:eastAsia="Arial" w:hAnsi="Arial"/>
          <w:sz w:val="22"/>
          <w:szCs w:val="22"/>
        </w:rPr>
        <w:t xml:space="preserve">I made the Q&amp;A individually assessed to prevent free-riding in group work. It is a good mechanism but I did not explain it clearly enough at the start of the module. Students in week 21 were anxious about questions they would be asked. I need to explain the purpose, the format, and give example questions at the start of Semester B, not the week before.</w:t>
      </w:r>
    </w:p>
    <w:p>
      <w:pPr>
        <w:pStyle w:val="Heading2"/>
        <w:spacing w:after="120" w:before="240"/>
      </w:pPr>
      <w:r>
        <w:rPr>
          <w:rFonts w:ascii="Arial" w:cs="Arial" w:eastAsia="Arial" w:hAnsi="Arial"/>
          <w:b/>
          <w:bCs/>
          <w:color w:val="003366"/>
          <w:sz w:val="24"/>
          <w:szCs w:val="24"/>
        </w:rPr>
        <w:t xml:space="preserve">What Worked Well and Should Stay</w:t>
      </w:r>
    </w:p>
    <w:p>
      <w:pPr>
        <w:pStyle w:val="Heading3"/>
        <w:spacing w:after="100" w:before="200"/>
      </w:pPr>
      <w:r>
        <w:rPr>
          <w:rFonts w:ascii="Arial" w:cs="Arial" w:eastAsia="Arial" w:hAnsi="Arial"/>
          <w:b/>
          <w:bCs/>
          <w:color w:val="007B5E"/>
          <w:sz w:val="22"/>
          <w:szCs w:val="22"/>
        </w:rPr>
        <w:t xml:space="preserve">The thematic analysis workshops</w:t>
      </w:r>
    </w:p>
    <w:p>
      <w:pPr>
        <w:spacing w:after="160"/>
      </w:pPr>
      <w:r>
        <w:rPr>
          <w:rFonts w:ascii="Arial" w:cs="Arial" w:eastAsia="Arial" w:hAnsi="Arial"/>
          <w:sz w:val="22"/>
          <w:szCs w:val="22"/>
        </w:rPr>
        <w:t xml:space="preserve">These are consistently the highest-rated sessions and the one thing students mention unprompted when I ask them what they valued. The format — students bring coded data from their own interviews and we workshop the analytical decisions together — creates genuine intellectual engagement. I should not change this.</w:t>
      </w:r>
    </w:p>
    <w:p>
      <w:pPr>
        <w:spacing w:after="160"/>
      </w:pPr>
      <w:r>
        <w:rPr>
          <w:rFonts w:ascii="Arial" w:cs="Arial" w:eastAsia="Arial" w:hAnsi="Arial"/>
          <w:sz w:val="22"/>
          <w:szCs w:val="22"/>
        </w:rPr>
        <w:t xml:space="preserve">One addition for next year: I want students to defend their coding and theming decisions to each other, not just present them. A structured peer challenge activity in week 16 where pairs question each other's analytical choices would develop exactly the interpretive confidence that the better Assessment 3 presentations demonstrate.</w:t>
      </w:r>
    </w:p>
    <w:p>
      <w:pPr>
        <w:pStyle w:val="Heading3"/>
        <w:spacing w:after="100" w:before="200"/>
      </w:pPr>
      <w:r>
        <w:rPr>
          <w:rFonts w:ascii="Arial" w:cs="Arial" w:eastAsia="Arial" w:hAnsi="Arial"/>
          <w:b/>
          <w:bCs/>
          <w:color w:val="007B5E"/>
          <w:sz w:val="22"/>
          <w:szCs w:val="22"/>
        </w:rPr>
        <w:t xml:space="preserve">The Welsh context throughout</w:t>
      </w:r>
    </w:p>
    <w:p>
      <w:pPr>
        <w:spacing w:after="160"/>
      </w:pPr>
      <w:r>
        <w:rPr>
          <w:rFonts w:ascii="Arial" w:cs="Arial" w:eastAsia="Arial" w:hAnsi="Arial"/>
          <w:sz w:val="22"/>
          <w:szCs w:val="22"/>
        </w:rPr>
        <w:t xml:space="preserve">Using Welsh policy research examples, the National Survey for Wales dataset, and supporting Welsh-language participation are distinctive features of this module that students — both Welsh-speaking and non-Welsh-speaking — respond to positively. The external examiner noticed this too. I should make the Welsh context more explicit in the module rationale at the start of the year rather than letting it emerge organically.</w:t>
      </w:r>
    </w:p>
    <w:p>
      <w:pPr>
        <w:pStyle w:val="Heading2"/>
        <w:spacing w:after="120" w:before="240"/>
      </w:pPr>
      <w:r>
        <w:rPr>
          <w:rFonts w:ascii="Arial" w:cs="Arial" w:eastAsia="Arial" w:hAnsi="Arial"/>
          <w:b/>
          <w:bCs/>
          <w:color w:val="003366"/>
          <w:sz w:val="24"/>
          <w:szCs w:val="24"/>
        </w:rPr>
        <w:t xml:space="preserve">Questions for 2024–25 Planning</w:t>
      </w:r>
    </w:p>
    <w:p>
      <w:pPr>
        <w:pStyle w:val="ListParagraph"/>
        <w:numPr>
          <w:ilvl w:val="0"/>
          <w:numId w:val="2"/>
        </w:numPr>
        <w:spacing w:after="80"/>
      </w:pPr>
      <w:r>
        <w:rPr>
          <w:rFonts w:ascii="Arial" w:cs="Arial" w:eastAsia="Arial" w:hAnsi="Arial"/>
          <w:sz w:val="22"/>
          <w:szCs w:val="22"/>
        </w:rPr>
        <w:t xml:space="preserve">Can I genuinely restructure weeks 6–8 to teach statistical concepts before SPSS procedures? What would that look like in practice?</w:t>
      </w:r>
    </w:p>
    <w:p>
      <w:pPr>
        <w:pStyle w:val="ListParagraph"/>
        <w:numPr>
          <w:ilvl w:val="0"/>
          <w:numId w:val="2"/>
        </w:numPr>
        <w:spacing w:after="80"/>
      </w:pPr>
      <w:r>
        <w:rPr>
          <w:rFonts w:ascii="Arial" w:cs="Arial" w:eastAsia="Arial" w:hAnsi="Arial"/>
          <w:sz w:val="22"/>
          <w:szCs w:val="22"/>
        </w:rPr>
        <w:t xml:space="preserve">What do I cut to make space for the conceptual approach? Is there anything in Semester A that could move to Semester B or be removed entirely?</w:t>
      </w:r>
    </w:p>
    <w:p>
      <w:pPr>
        <w:pStyle w:val="ListParagraph"/>
        <w:numPr>
          <w:ilvl w:val="0"/>
          <w:numId w:val="2"/>
        </w:numPr>
        <w:spacing w:after="80"/>
      </w:pPr>
      <w:r>
        <w:rPr>
          <w:rFonts w:ascii="Arial" w:cs="Arial" w:eastAsia="Arial" w:hAnsi="Arial"/>
          <w:sz w:val="22"/>
          <w:szCs w:val="22"/>
        </w:rPr>
        <w:t xml:space="preserve">Should I create a formative SPSS task in week 9 alongside the National Survey scaffolding task? Or is that too much in one week?</w:t>
      </w:r>
    </w:p>
    <w:p>
      <w:pPr>
        <w:pStyle w:val="ListParagraph"/>
        <w:numPr>
          <w:ilvl w:val="0"/>
          <w:numId w:val="2"/>
        </w:numPr>
        <w:spacing w:after="80"/>
      </w:pPr>
      <w:r>
        <w:rPr>
          <w:rFonts w:ascii="Arial" w:cs="Arial" w:eastAsia="Arial" w:hAnsi="Arial"/>
          <w:sz w:val="22"/>
          <w:szCs w:val="22"/>
        </w:rPr>
        <w:t xml:space="preserve">How do I make the critical appraisal task clearer without making it so prescriptive that students just fill in a template?</w:t>
      </w:r>
    </w:p>
    <w:p>
      <w:pPr>
        <w:pStyle w:val="ListParagraph"/>
        <w:numPr>
          <w:ilvl w:val="0"/>
          <w:numId w:val="2"/>
        </w:numPr>
        <w:spacing w:after="80"/>
      </w:pPr>
      <w:r>
        <w:rPr>
          <w:rFonts w:ascii="Arial" w:cs="Arial" w:eastAsia="Arial" w:hAnsi="Arial"/>
          <w:sz w:val="22"/>
          <w:szCs w:val="22"/>
        </w:rPr>
        <w:t xml:space="preserve">The students who most need SPSS support are not coming to drop-ins. How do I reach them? Compulsory attendance? Peer tutoring? An early diagnostic quiz?</w:t>
      </w:r>
    </w:p>
    <w:p>
      <w:pPr>
        <w:pStyle w:val="ListParagraph"/>
        <w:numPr>
          <w:ilvl w:val="0"/>
          <w:numId w:val="2"/>
        </w:numPr>
        <w:spacing w:after="80"/>
      </w:pPr>
      <w:r>
        <w:rPr>
          <w:rFonts w:ascii="Arial" w:cs="Arial" w:eastAsia="Arial" w:hAnsi="Arial"/>
          <w:sz w:val="22"/>
          <w:szCs w:val="22"/>
        </w:rPr>
        <w:t xml:space="preserve">I teach qualitative methods better than quantitative. Is this because qualitative methods are genuinely more accessible, or because I am more confident in that territory? If the latter, what do I do about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003366"/>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003366"/>
      <w:sz w:val="24"/>
      <w:szCs w:val="24"/>
    </w:rPr>
  </w:style>
  <w:style w:type="paragraph" w:styleId="Heading3">
    <w:name w:val="Heading 3"/>
    <w:basedOn w:val="Normal"/>
    <w:next w:val="Normal"/>
    <w:qFormat/>
    <w:pPr>
      <w:spacing w:after="100" w:before="200"/>
      <w:outlineLvl w:val="2"/>
    </w:pPr>
    <w:rPr>
      <w:rFonts w:ascii="Arial" w:cs="Arial" w:eastAsia="Arial" w:hAnsi="Arial"/>
      <w:b/>
      <w:bCs/>
      <w:color w:val="007B5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2026-07-16T11:49:00.853Z</dcterms:created>
  <dcterms:modified xsi:type="dcterms:W3CDTF">2026-07-16T11:49:00.853Z</dcterms:modified>
</cp:coreProperties>
</file>

<file path=docProps/custom.xml><?xml version="1.0" encoding="utf-8"?>
<Properties xmlns="http://schemas.openxmlformats.org/officeDocument/2006/custom-properties" xmlns:vt="http://schemas.openxmlformats.org/officeDocument/2006/docPropsVTypes"/>
</file>